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4664"/>
        <w:gridCol w:w="4665"/>
        <w:gridCol w:w="4665"/>
      </w:tblGrid>
      <w:tr w:rsidR="00D4465D" w:rsidTr="00D4465D">
        <w:tc>
          <w:tcPr>
            <w:tcW w:w="4664" w:type="dxa"/>
          </w:tcPr>
          <w:p w:rsidR="00D4465D" w:rsidRDefault="00D4465D">
            <w:r>
              <w:t>Ghid actual</w:t>
            </w:r>
          </w:p>
        </w:tc>
        <w:tc>
          <w:tcPr>
            <w:tcW w:w="4665" w:type="dxa"/>
          </w:tcPr>
          <w:p w:rsidR="00D4465D" w:rsidRDefault="00D4465D">
            <w:r>
              <w:t>Ordonanta simplificare</w:t>
            </w:r>
          </w:p>
        </w:tc>
        <w:tc>
          <w:tcPr>
            <w:tcW w:w="4665" w:type="dxa"/>
          </w:tcPr>
          <w:p w:rsidR="00D4465D" w:rsidRDefault="00D4465D">
            <w:r>
              <w:t>obs</w:t>
            </w:r>
          </w:p>
        </w:tc>
      </w:tr>
      <w:tr w:rsidR="00D4465D" w:rsidTr="00892B1F">
        <w:tc>
          <w:tcPr>
            <w:tcW w:w="13994" w:type="dxa"/>
            <w:gridSpan w:val="3"/>
          </w:tcPr>
          <w:p w:rsidR="00D4465D" w:rsidRPr="001914FA" w:rsidRDefault="00D4465D">
            <w:pPr>
              <w:rPr>
                <w:b/>
              </w:rPr>
            </w:pPr>
            <w:r w:rsidRPr="001914FA">
              <w:rPr>
                <w:b/>
              </w:rPr>
              <w:t>La depunerea cererii de finantare</w:t>
            </w:r>
          </w:p>
        </w:tc>
      </w:tr>
      <w:tr w:rsidR="00D4465D" w:rsidTr="00EB5854">
        <w:tc>
          <w:tcPr>
            <w:tcW w:w="4664" w:type="dxa"/>
            <w:shd w:val="clear" w:color="auto" w:fill="D9E2F3" w:themeFill="accent5" w:themeFillTint="33"/>
          </w:tcPr>
          <w:p w:rsidR="00D4465D" w:rsidRDefault="00D4465D" w:rsidP="00D4465D"/>
        </w:tc>
        <w:tc>
          <w:tcPr>
            <w:tcW w:w="4665" w:type="dxa"/>
            <w:shd w:val="clear" w:color="auto" w:fill="D9E2F3" w:themeFill="accent5" w:themeFillTint="33"/>
          </w:tcPr>
          <w:p w:rsidR="00D4465D" w:rsidRDefault="00EC6404">
            <w:r>
              <w:t>Declarația Unică</w:t>
            </w:r>
          </w:p>
          <w:p w:rsidR="00EB5854" w:rsidRDefault="00EB5854"/>
          <w:p w:rsidR="00EB5854" w:rsidRDefault="00EB5854" w:rsidP="00EB5854">
            <w:r>
              <w:t xml:space="preserve">Capitolul III - Depunerea cererii de finanțare </w:t>
            </w:r>
          </w:p>
          <w:p w:rsidR="00EB5854" w:rsidRDefault="00EB5854" w:rsidP="00EB5854">
            <w:r>
              <w:tab/>
              <w:t>Art. 6, alin (3) La cererea de finanțare se va anexa, indiferent de program sau de apelul de proiecte, declarația unică care se completează conform prevederilor art. 8, alin. (2) și (3) prin care se confirmă îndeplinirea condițiilor privind eligibilitatea si conformitatea administrativă și al cărei conținut cadru minimal este specificat în anexa nr. 3 la prezenta ordonanță.</w:t>
            </w:r>
          </w:p>
        </w:tc>
        <w:tc>
          <w:tcPr>
            <w:tcW w:w="4665" w:type="dxa"/>
            <w:shd w:val="clear" w:color="auto" w:fill="D9E2F3" w:themeFill="accent5" w:themeFillTint="33"/>
          </w:tcPr>
          <w:p w:rsidR="00D4465D" w:rsidRDefault="00D4465D" w:rsidP="00EC6404"/>
        </w:tc>
      </w:tr>
      <w:tr w:rsidR="00EC6404" w:rsidTr="00EB5854">
        <w:tc>
          <w:tcPr>
            <w:tcW w:w="4664" w:type="dxa"/>
            <w:shd w:val="clear" w:color="auto" w:fill="F7CAAC" w:themeFill="accent2" w:themeFillTint="66"/>
          </w:tcPr>
          <w:p w:rsidR="00EC6404" w:rsidRPr="00D4465D" w:rsidRDefault="00EC6404" w:rsidP="00D4465D">
            <w:r w:rsidRPr="00EC6404">
              <w:t>Documentele statutare ale solicitantului şi partenerilor, după caz, conform legislației în vigoare la data depunerii cererii de finanțare</w:t>
            </w:r>
          </w:p>
        </w:tc>
        <w:tc>
          <w:tcPr>
            <w:tcW w:w="4665" w:type="dxa"/>
            <w:shd w:val="clear" w:color="auto" w:fill="F7CAAC" w:themeFill="accent2" w:themeFillTint="66"/>
          </w:tcPr>
          <w:p w:rsidR="00EC6404" w:rsidRDefault="00EC6404"/>
        </w:tc>
        <w:tc>
          <w:tcPr>
            <w:tcW w:w="4665" w:type="dxa"/>
            <w:shd w:val="clear" w:color="auto" w:fill="F7CAAC" w:themeFill="accent2" w:themeFillTint="66"/>
          </w:tcPr>
          <w:p w:rsidR="00EC6404" w:rsidRDefault="00EB5854">
            <w:r>
              <w:t>Doar la contractare</w:t>
            </w:r>
          </w:p>
        </w:tc>
      </w:tr>
      <w:tr w:rsidR="00D4465D" w:rsidTr="00D4465D">
        <w:tc>
          <w:tcPr>
            <w:tcW w:w="4664" w:type="dxa"/>
          </w:tcPr>
          <w:p w:rsidR="00D4465D" w:rsidRDefault="00D4465D" w:rsidP="00D4465D">
            <w:r>
              <w:t xml:space="preserve">Documente privind identificarea reprezentantului legal al solicitantului şi partenerilor </w:t>
            </w:r>
          </w:p>
          <w:p w:rsidR="00D4465D" w:rsidRDefault="00D4465D" w:rsidP="00D4465D">
            <w:r>
              <w:t>(dacă este cazul)</w:t>
            </w:r>
          </w:p>
        </w:tc>
        <w:tc>
          <w:tcPr>
            <w:tcW w:w="4665" w:type="dxa"/>
          </w:tcPr>
          <w:p w:rsidR="00D4465D" w:rsidRDefault="00D4465D"/>
        </w:tc>
        <w:tc>
          <w:tcPr>
            <w:tcW w:w="4665" w:type="dxa"/>
          </w:tcPr>
          <w:p w:rsidR="00D4465D" w:rsidRDefault="006E0F28">
            <w:r w:rsidRPr="006E0F28">
              <w:rPr>
                <w:highlight w:val="yellow"/>
              </w:rPr>
              <w:t>la depunere</w:t>
            </w:r>
          </w:p>
        </w:tc>
      </w:tr>
      <w:tr w:rsidR="00EB5854" w:rsidTr="00EB5854">
        <w:tc>
          <w:tcPr>
            <w:tcW w:w="4664" w:type="dxa"/>
            <w:shd w:val="clear" w:color="auto" w:fill="DEEAF6" w:themeFill="accent1" w:themeFillTint="33"/>
          </w:tcPr>
          <w:p w:rsidR="00EB5854" w:rsidRDefault="00EB5854">
            <w:r w:rsidRPr="00D4465D">
              <w:t>Declaraţia de eligibilitate a solicitantului și, dacă este cazul, a partenerilor</w:t>
            </w:r>
          </w:p>
        </w:tc>
        <w:tc>
          <w:tcPr>
            <w:tcW w:w="4665" w:type="dxa"/>
            <w:shd w:val="clear" w:color="auto" w:fill="DEEAF6" w:themeFill="accent1" w:themeFillTint="33"/>
          </w:tcPr>
          <w:p w:rsidR="00EB5854" w:rsidRDefault="00EB5854"/>
        </w:tc>
        <w:tc>
          <w:tcPr>
            <w:tcW w:w="4665" w:type="dxa"/>
            <w:vMerge w:val="restart"/>
            <w:shd w:val="clear" w:color="auto" w:fill="DEEAF6" w:themeFill="accent1" w:themeFillTint="33"/>
          </w:tcPr>
          <w:p w:rsidR="00EB5854" w:rsidRDefault="00EB5854">
            <w:r>
              <w:t>Inlocuite de declarația unică</w:t>
            </w:r>
          </w:p>
        </w:tc>
      </w:tr>
      <w:tr w:rsidR="00EB5854" w:rsidTr="00EB5854">
        <w:tc>
          <w:tcPr>
            <w:tcW w:w="4664" w:type="dxa"/>
            <w:shd w:val="clear" w:color="auto" w:fill="DEEAF6" w:themeFill="accent1" w:themeFillTint="33"/>
          </w:tcPr>
          <w:p w:rsidR="00EB5854" w:rsidRPr="00D4465D" w:rsidRDefault="00EB5854">
            <w:r w:rsidRPr="00D4465D">
              <w:t>Declaraţia de angajament a solicitantului și, dacă este cazul, a partenerilor</w:t>
            </w:r>
          </w:p>
        </w:tc>
        <w:tc>
          <w:tcPr>
            <w:tcW w:w="4665" w:type="dxa"/>
            <w:shd w:val="clear" w:color="auto" w:fill="DEEAF6" w:themeFill="accent1" w:themeFillTint="33"/>
          </w:tcPr>
          <w:p w:rsidR="00EB5854" w:rsidRDefault="00EB5854"/>
        </w:tc>
        <w:tc>
          <w:tcPr>
            <w:tcW w:w="4665" w:type="dxa"/>
            <w:vMerge/>
            <w:shd w:val="clear" w:color="auto" w:fill="DEEAF6" w:themeFill="accent1" w:themeFillTint="33"/>
          </w:tcPr>
          <w:p w:rsidR="00EB5854" w:rsidRDefault="00EB5854"/>
        </w:tc>
      </w:tr>
      <w:tr w:rsidR="00EB5854" w:rsidTr="00EB5854">
        <w:tc>
          <w:tcPr>
            <w:tcW w:w="4664" w:type="dxa"/>
            <w:shd w:val="clear" w:color="auto" w:fill="DEEAF6" w:themeFill="accent1" w:themeFillTint="33"/>
          </w:tcPr>
          <w:p w:rsidR="00EB5854" w:rsidRPr="00D4465D" w:rsidRDefault="00EB5854">
            <w:r w:rsidRPr="00D4465D">
              <w:t>Declarație privind eligibilitatea TVA, dacă este cazul</w:t>
            </w:r>
          </w:p>
        </w:tc>
        <w:tc>
          <w:tcPr>
            <w:tcW w:w="4665" w:type="dxa"/>
            <w:shd w:val="clear" w:color="auto" w:fill="DEEAF6" w:themeFill="accent1" w:themeFillTint="33"/>
          </w:tcPr>
          <w:p w:rsidR="00EB5854" w:rsidRDefault="00EB5854"/>
        </w:tc>
        <w:tc>
          <w:tcPr>
            <w:tcW w:w="4665" w:type="dxa"/>
            <w:vMerge/>
            <w:shd w:val="clear" w:color="auto" w:fill="DEEAF6" w:themeFill="accent1" w:themeFillTint="33"/>
          </w:tcPr>
          <w:p w:rsidR="00EB5854" w:rsidRDefault="00EB5854"/>
        </w:tc>
      </w:tr>
      <w:tr w:rsidR="00D4465D" w:rsidTr="00D4465D">
        <w:tc>
          <w:tcPr>
            <w:tcW w:w="4664" w:type="dxa"/>
          </w:tcPr>
          <w:p w:rsidR="00D4465D" w:rsidRPr="00D4465D" w:rsidRDefault="00D4465D">
            <w:r w:rsidRPr="00D4465D">
              <w:t>Acordul privind implementarea în parteneriat a proiectului, dacă este cazul</w:t>
            </w:r>
          </w:p>
        </w:tc>
        <w:tc>
          <w:tcPr>
            <w:tcW w:w="4665" w:type="dxa"/>
          </w:tcPr>
          <w:p w:rsidR="00D4465D" w:rsidRDefault="00D4465D"/>
        </w:tc>
        <w:tc>
          <w:tcPr>
            <w:tcW w:w="4665" w:type="dxa"/>
          </w:tcPr>
          <w:p w:rsidR="00D4465D" w:rsidRDefault="00D4465D"/>
        </w:tc>
      </w:tr>
      <w:tr w:rsidR="00D4465D" w:rsidTr="00EF43C5">
        <w:tc>
          <w:tcPr>
            <w:tcW w:w="4664" w:type="dxa"/>
            <w:shd w:val="clear" w:color="auto" w:fill="E2EFD9" w:themeFill="accent6" w:themeFillTint="33"/>
          </w:tcPr>
          <w:p w:rsidR="00D4465D" w:rsidRPr="00612BBD" w:rsidRDefault="00D4465D">
            <w:pPr>
              <w:rPr>
                <w:b/>
              </w:rPr>
            </w:pPr>
            <w:r w:rsidRPr="00612BBD">
              <w:rPr>
                <w:b/>
              </w:rPr>
              <w:t>Studiul de trafic</w:t>
            </w:r>
          </w:p>
        </w:tc>
        <w:tc>
          <w:tcPr>
            <w:tcW w:w="4665" w:type="dxa"/>
            <w:shd w:val="clear" w:color="auto" w:fill="E2EFD9" w:themeFill="accent6" w:themeFillTint="33"/>
          </w:tcPr>
          <w:p w:rsidR="00D4465D" w:rsidRDefault="00D4465D"/>
        </w:tc>
        <w:tc>
          <w:tcPr>
            <w:tcW w:w="4665" w:type="dxa"/>
            <w:shd w:val="clear" w:color="auto" w:fill="E2EFD9" w:themeFill="accent6" w:themeFillTint="33"/>
          </w:tcPr>
          <w:p w:rsidR="00EF43C5" w:rsidRPr="00612BBD" w:rsidRDefault="007D67DE" w:rsidP="00EF43C5">
            <w:pPr>
              <w:rPr>
                <w:b/>
              </w:rPr>
            </w:pPr>
            <w:r>
              <w:rPr>
                <w:b/>
              </w:rPr>
              <w:t xml:space="preserve">Grila ETF. </w:t>
            </w:r>
            <w:r w:rsidR="00EF43C5" w:rsidRPr="00612BBD">
              <w:rPr>
                <w:b/>
              </w:rPr>
              <w:tab/>
            </w:r>
          </w:p>
          <w:p w:rsidR="0027721E" w:rsidRDefault="00EF43C5" w:rsidP="00EF43C5">
            <w:r w:rsidRPr="00EF43C5">
              <w:t>1.2</w:t>
            </w:r>
            <w:r w:rsidRPr="00EF43C5">
              <w:tab/>
              <w:t>Asigurarea creșterii vitezei medii de deplasare pe traseele de transport public local de persoane</w:t>
            </w:r>
          </w:p>
          <w:p w:rsidR="0027721E" w:rsidRDefault="0027721E" w:rsidP="00EF43C5">
            <w:r w:rsidRPr="0027721E">
              <w:t>1.3</w:t>
            </w:r>
            <w:r w:rsidRPr="0027721E">
              <w:tab/>
              <w:t>Reducerea emisiilor de gaze cu efect de seră (GES)</w:t>
            </w:r>
          </w:p>
          <w:p w:rsidR="0027721E" w:rsidRDefault="0027721E" w:rsidP="00EF43C5">
            <w:r w:rsidRPr="0027721E">
              <w:lastRenderedPageBreak/>
              <w:t>1.4.</w:t>
            </w:r>
            <w:r w:rsidRPr="0027721E">
              <w:tab/>
              <w:t>Creșterea numărului de pasageri transportați cu transportul public de călători local în zona aferentă proiectului</w:t>
            </w:r>
          </w:p>
          <w:p w:rsidR="00BA2EF2" w:rsidRDefault="0027721E" w:rsidP="00EF43C5">
            <w:r>
              <w:t>1.</w:t>
            </w:r>
            <w:r w:rsidRPr="0027721E">
              <w:t>5</w:t>
            </w:r>
            <w:r w:rsidRPr="0027721E">
              <w:tab/>
              <w:t>Creșterea numărului de bicicliști în zona proiectului</w:t>
            </w:r>
            <w:r w:rsidRPr="0027721E">
              <w:tab/>
            </w:r>
          </w:p>
          <w:p w:rsidR="00BA2EF2" w:rsidRDefault="00BA2EF2" w:rsidP="00EF43C5"/>
          <w:p w:rsidR="006E0F28" w:rsidRDefault="00BA2EF2" w:rsidP="00EF43C5">
            <w:r w:rsidRPr="00BA2EF2">
              <w:t>2.1.2. Coerenţa dintre Planul de Mobilitate Urbană Durabilă (P.M.U.D), Studiul de trafic,  Studiul de Fezabilitate/D.A.L.I./PT, Cererea de Finanţare, după caz</w:t>
            </w:r>
          </w:p>
          <w:p w:rsidR="006E0F28" w:rsidRDefault="006E0F28" w:rsidP="00EF43C5"/>
          <w:p w:rsidR="00D4465D" w:rsidRDefault="006E0F28" w:rsidP="00EF43C5">
            <w:r w:rsidRPr="006E0F28">
              <w:rPr>
                <w:highlight w:val="yellow"/>
              </w:rPr>
              <w:t>la depunere</w:t>
            </w:r>
            <w:r w:rsidR="0027721E" w:rsidRPr="0027721E">
              <w:tab/>
            </w:r>
            <w:r w:rsidR="0027721E" w:rsidRPr="0027721E">
              <w:tab/>
            </w:r>
            <w:r w:rsidR="0027721E" w:rsidRPr="0027721E">
              <w:tab/>
            </w:r>
            <w:r w:rsidR="00EF43C5" w:rsidRPr="00EF43C5">
              <w:tab/>
            </w:r>
          </w:p>
        </w:tc>
      </w:tr>
      <w:tr w:rsidR="00D4465D" w:rsidTr="00BA2EF2">
        <w:tc>
          <w:tcPr>
            <w:tcW w:w="4664" w:type="dxa"/>
            <w:shd w:val="clear" w:color="auto" w:fill="E2EFD9" w:themeFill="accent6" w:themeFillTint="33"/>
          </w:tcPr>
          <w:p w:rsidR="00D4465D" w:rsidRPr="00D4465D" w:rsidRDefault="00D4465D">
            <w:r w:rsidRPr="00D4465D">
              <w:lastRenderedPageBreak/>
              <w:t>Lista de lucrări și/sau servicii echipamente, dotări, pe categorii de lucrări cu încadrarea acestora în  secțiunea de cheltuieli eligibile /neeligibile</w:t>
            </w:r>
          </w:p>
        </w:tc>
        <w:tc>
          <w:tcPr>
            <w:tcW w:w="4665" w:type="dxa"/>
            <w:shd w:val="clear" w:color="auto" w:fill="E2EFD9" w:themeFill="accent6" w:themeFillTint="33"/>
          </w:tcPr>
          <w:p w:rsidR="00D4465D" w:rsidRDefault="00D4465D"/>
        </w:tc>
        <w:tc>
          <w:tcPr>
            <w:tcW w:w="4665" w:type="dxa"/>
            <w:shd w:val="clear" w:color="auto" w:fill="E2EFD9" w:themeFill="accent6" w:themeFillTint="33"/>
          </w:tcPr>
          <w:p w:rsidR="00D4465D" w:rsidRDefault="00BA2EF2">
            <w:r w:rsidRPr="00BA2EF2">
              <w:t>2.2.</w:t>
            </w:r>
            <w:r w:rsidRPr="00BA2EF2">
              <w:tab/>
              <w:t>Calitatea bugetului, concordanța buget/deviz (*)</w:t>
            </w:r>
            <w:r w:rsidRPr="00BA2EF2">
              <w:tab/>
            </w:r>
            <w:r w:rsidRPr="00BA2EF2">
              <w:tab/>
            </w:r>
          </w:p>
          <w:p w:rsidR="006E0F28" w:rsidRDefault="006E0F28"/>
          <w:p w:rsidR="006E0F28" w:rsidRDefault="006E0F28">
            <w:r w:rsidRPr="006E0F28">
              <w:rPr>
                <w:highlight w:val="yellow"/>
              </w:rPr>
              <w:t>la depunere</w:t>
            </w:r>
          </w:p>
        </w:tc>
      </w:tr>
      <w:tr w:rsidR="00D4465D" w:rsidTr="0027721E">
        <w:tc>
          <w:tcPr>
            <w:tcW w:w="4664" w:type="dxa"/>
            <w:shd w:val="clear" w:color="auto" w:fill="E2EFD9" w:themeFill="accent6" w:themeFillTint="33"/>
          </w:tcPr>
          <w:p w:rsidR="00D4465D" w:rsidRPr="00612BBD" w:rsidRDefault="00D4465D">
            <w:pPr>
              <w:rPr>
                <w:b/>
              </w:rPr>
            </w:pPr>
            <w:r w:rsidRPr="00612BBD">
              <w:rPr>
                <w:b/>
              </w:rPr>
              <w:t>Documentația tehnico – economică, inclusiv contractul de lucrări şi actele adiţionale la acesta, dacă este cazul</w:t>
            </w:r>
          </w:p>
        </w:tc>
        <w:tc>
          <w:tcPr>
            <w:tcW w:w="4665" w:type="dxa"/>
            <w:shd w:val="clear" w:color="auto" w:fill="E2EFD9" w:themeFill="accent6" w:themeFillTint="33"/>
          </w:tcPr>
          <w:p w:rsidR="00D4465D" w:rsidRDefault="00D4465D"/>
        </w:tc>
        <w:tc>
          <w:tcPr>
            <w:tcW w:w="4665" w:type="dxa"/>
            <w:shd w:val="clear" w:color="auto" w:fill="E2EFD9" w:themeFill="accent6" w:themeFillTint="33"/>
          </w:tcPr>
          <w:p w:rsidR="0027721E" w:rsidRPr="00612BBD" w:rsidRDefault="007D67DE" w:rsidP="0027721E">
            <w:pPr>
              <w:rPr>
                <w:b/>
              </w:rPr>
            </w:pPr>
            <w:r>
              <w:rPr>
                <w:b/>
              </w:rPr>
              <w:t xml:space="preserve">Grila ETF. </w:t>
            </w:r>
            <w:r w:rsidR="0027721E" w:rsidRPr="00612BBD">
              <w:rPr>
                <w:b/>
              </w:rPr>
              <w:tab/>
            </w:r>
          </w:p>
          <w:p w:rsidR="0027721E" w:rsidRDefault="0027721E" w:rsidP="0027721E">
            <w:r w:rsidRPr="0027721E">
              <w:t>1.6.</w:t>
            </w:r>
            <w:r w:rsidRPr="0027721E">
              <w:tab/>
              <w:t>Lungimea coridoarelor urbane/drumurilor propuse</w:t>
            </w:r>
          </w:p>
          <w:p w:rsidR="00E75D19" w:rsidRDefault="0027721E" w:rsidP="0027721E">
            <w:r w:rsidRPr="0027721E">
              <w:t>1</w:t>
            </w:r>
            <w:r>
              <w:t>.</w:t>
            </w:r>
            <w:r w:rsidRPr="0027721E">
              <w:t>7</w:t>
            </w:r>
            <w:r w:rsidRPr="0027721E">
              <w:tab/>
              <w:t>Stimularea transportului public, inclusiv a legăturilor multimodale</w:t>
            </w:r>
            <w:r w:rsidRPr="0027721E">
              <w:tab/>
            </w:r>
          </w:p>
          <w:p w:rsidR="001C529A" w:rsidRDefault="00E75D19" w:rsidP="0027721E">
            <w:r w:rsidRPr="00E75D19">
              <w:t>1.8.</w:t>
            </w:r>
            <w:r w:rsidRPr="00E75D19">
              <w:tab/>
              <w:t>Asigurare</w:t>
            </w:r>
            <w:r>
              <w:t>a creșterii siguranței rutiere</w:t>
            </w:r>
          </w:p>
          <w:p w:rsidR="00BA2EF2" w:rsidRDefault="001C529A" w:rsidP="0027721E">
            <w:r w:rsidRPr="001C529A">
              <w:t>1.9.</w:t>
            </w:r>
            <w:r w:rsidRPr="001C529A">
              <w:tab/>
              <w:t xml:space="preserve">Activități și măsuri operaționale sprijinite în cadrul proiectelor </w:t>
            </w:r>
          </w:p>
          <w:p w:rsidR="00BA2EF2" w:rsidRDefault="00BA2EF2" w:rsidP="0027721E"/>
          <w:p w:rsidR="007D67DE" w:rsidRDefault="00BA2EF2" w:rsidP="0027721E">
            <w:r w:rsidRPr="00BA2EF2">
              <w:t>2.1.2. Coerenţa dintre Planul de Mobilitate Urbană Durabilă (P.M.U.D), Studiul de trafic,  Studiul de Fezabilitate/D.A.L.I./PT, Cererea de Finanţare, după caz</w:t>
            </w:r>
            <w:r w:rsidR="001C529A" w:rsidRPr="001C529A">
              <w:tab/>
            </w:r>
          </w:p>
          <w:p w:rsidR="006E0F28" w:rsidRDefault="007D67DE" w:rsidP="0027721E">
            <w:r w:rsidRPr="007D67DE">
              <w:t>2.3.</w:t>
            </w:r>
            <w:r w:rsidRPr="007D67DE">
              <w:tab/>
              <w:t xml:space="preserve">Maturitatea proiectului </w:t>
            </w:r>
            <w:r w:rsidRPr="007D67DE">
              <w:tab/>
            </w:r>
            <w:r w:rsidRPr="007D67DE">
              <w:tab/>
            </w:r>
            <w:r w:rsidR="001C529A" w:rsidRPr="001C529A">
              <w:tab/>
            </w:r>
          </w:p>
          <w:p w:rsidR="00D4465D" w:rsidRDefault="006E0F28" w:rsidP="0027721E">
            <w:r w:rsidRPr="006E0F28">
              <w:rPr>
                <w:highlight w:val="yellow"/>
              </w:rPr>
              <w:t>la depunere</w:t>
            </w:r>
            <w:r w:rsidR="0027721E" w:rsidRPr="0027721E">
              <w:tab/>
            </w:r>
            <w:r w:rsidR="001C529A">
              <w:tab/>
            </w:r>
          </w:p>
        </w:tc>
      </w:tr>
      <w:tr w:rsidR="00D4465D" w:rsidTr="00EB5854">
        <w:tc>
          <w:tcPr>
            <w:tcW w:w="4664" w:type="dxa"/>
            <w:shd w:val="clear" w:color="auto" w:fill="FBE4D5" w:themeFill="accent2" w:themeFillTint="33"/>
          </w:tcPr>
          <w:p w:rsidR="00D4465D" w:rsidRPr="00D4465D" w:rsidRDefault="00D4465D">
            <w:r w:rsidRPr="00D4465D">
              <w:lastRenderedPageBreak/>
              <w:t>Documente privind dreptul de proprietate/administrare/superficie/folosință</w:t>
            </w:r>
          </w:p>
        </w:tc>
        <w:tc>
          <w:tcPr>
            <w:tcW w:w="4665" w:type="dxa"/>
            <w:shd w:val="clear" w:color="auto" w:fill="FBE4D5" w:themeFill="accent2" w:themeFillTint="33"/>
          </w:tcPr>
          <w:p w:rsidR="00EB5854" w:rsidRDefault="00EB5854" w:rsidP="00EB5854">
            <w:r>
              <w:t>Capitolul IV – Evaluarea și selecția proiectelor</w:t>
            </w:r>
          </w:p>
          <w:p w:rsidR="00D4465D" w:rsidRDefault="00EB5854" w:rsidP="00EB5854">
            <w:r>
              <w:t>Art. 8</w:t>
            </w:r>
          </w:p>
          <w:p w:rsidR="00EB5854" w:rsidRDefault="00EB5854" w:rsidP="00EB5854">
            <w:r w:rsidRPr="00EB5854">
              <w:t xml:space="preserve">(13) Solicitantul va declara de asemenea pe propria răspundere, civilă și penală, odată cu întocmirea declarației unice potrivit alin.(2) și (3) că deține/sau după caz urmează să dețină, până la semnarea contractului de finanțare, dreptul de proprietate, fără sarcini, asupra bunurilor imobile care fac obiectul cererii de finanțare. </w:t>
            </w:r>
            <w:r w:rsidRPr="00EB5854">
              <w:rPr>
                <w:highlight w:val="green"/>
              </w:rPr>
              <w:t>Documentele de proprietate asupra bunurilor imobile sunt obligatorii de către solicitant la data încheierii contractului de finanțare</w:t>
            </w:r>
            <w:r w:rsidRPr="00EB5854">
              <w:t xml:space="preserve"> ori în termenul prevăzut la art. 6, alin (7) din prezenta ordonanță de urgență. </w:t>
            </w:r>
            <w:r w:rsidRPr="00977DC9">
              <w:rPr>
                <w:highlight w:val="yellow"/>
              </w:rPr>
              <w:t>Documentele de proprietate nu pot fi grevate de sarcini</w:t>
            </w:r>
            <w:r w:rsidRPr="00EB5854">
              <w:t>, nu pot face obiectul unor garanții, cesionări și nici a unei alte forme de sarcini care ar putea afecta dreptul de proprietate al solicitantului pe perioada de implementarea și/sau perioada de durabilitate a proiectului care face obiectul contractului de finanțare;</w:t>
            </w:r>
          </w:p>
        </w:tc>
        <w:tc>
          <w:tcPr>
            <w:tcW w:w="4665" w:type="dxa"/>
            <w:shd w:val="clear" w:color="auto" w:fill="FBE4D5" w:themeFill="accent2" w:themeFillTint="33"/>
          </w:tcPr>
          <w:p w:rsidR="00D4465D" w:rsidRDefault="00EB5854">
            <w:r>
              <w:t>La contractare</w:t>
            </w:r>
            <w:r w:rsidR="00977DC9">
              <w:t xml:space="preserve"> </w:t>
            </w:r>
            <w:r w:rsidR="00977DC9" w:rsidRPr="00977DC9">
              <w:rPr>
                <w:highlight w:val="yellow"/>
              </w:rPr>
              <w:t>(sau deloc in cazul in care se depune AC)</w:t>
            </w:r>
          </w:p>
        </w:tc>
      </w:tr>
      <w:tr w:rsidR="00D4465D" w:rsidTr="00BE1B7E">
        <w:tc>
          <w:tcPr>
            <w:tcW w:w="4664" w:type="dxa"/>
            <w:shd w:val="clear" w:color="auto" w:fill="E2EFD9" w:themeFill="accent6" w:themeFillTint="33"/>
          </w:tcPr>
          <w:p w:rsidR="00D4465D" w:rsidRPr="00D4465D" w:rsidRDefault="00D4465D">
            <w:r w:rsidRPr="00D4465D">
              <w:t>Certificatul de urbanism şi/sau autorizaţia de construire, avize/acorduri, după caz</w:t>
            </w:r>
          </w:p>
        </w:tc>
        <w:tc>
          <w:tcPr>
            <w:tcW w:w="4665" w:type="dxa"/>
            <w:shd w:val="clear" w:color="auto" w:fill="E2EFD9" w:themeFill="accent6" w:themeFillTint="33"/>
          </w:tcPr>
          <w:p w:rsidR="00D4465D" w:rsidRDefault="00D4465D"/>
        </w:tc>
        <w:tc>
          <w:tcPr>
            <w:tcW w:w="4665" w:type="dxa"/>
            <w:shd w:val="clear" w:color="auto" w:fill="E2EFD9" w:themeFill="accent6" w:themeFillTint="33"/>
          </w:tcPr>
          <w:p w:rsidR="00D4465D" w:rsidRDefault="00AC5169">
            <w:r>
              <w:t>Cap.III Art.6</w:t>
            </w:r>
          </w:p>
          <w:p w:rsidR="00AC5169" w:rsidRPr="00517EB8" w:rsidRDefault="00AC5169" w:rsidP="00AC5169">
            <w:pPr>
              <w:ind w:firstLine="708"/>
              <w:jc w:val="both"/>
              <w:rPr>
                <w:rFonts w:ascii="Trebuchet MS" w:hAnsi="Trebuchet MS"/>
                <w:sz w:val="24"/>
                <w:szCs w:val="24"/>
              </w:rPr>
            </w:pPr>
            <w:r w:rsidRPr="00517EB8">
              <w:rPr>
                <w:rFonts w:ascii="Trebuchet MS" w:hAnsi="Trebuchet MS"/>
                <w:sz w:val="24"/>
                <w:szCs w:val="24"/>
              </w:rPr>
              <w:t xml:space="preserve">(8) </w:t>
            </w:r>
            <w:r w:rsidRPr="00977DC9">
              <w:rPr>
                <w:rFonts w:ascii="Trebuchet MS" w:hAnsi="Trebuchet MS"/>
                <w:sz w:val="24"/>
                <w:szCs w:val="24"/>
                <w:highlight w:val="green"/>
              </w:rPr>
              <w:t>La depunerea cererii de finanțare</w:t>
            </w:r>
            <w:r w:rsidRPr="00517EB8">
              <w:rPr>
                <w:rFonts w:ascii="Trebuchet MS" w:hAnsi="Trebuchet MS"/>
                <w:sz w:val="24"/>
                <w:szCs w:val="24"/>
              </w:rPr>
              <w:t xml:space="preserve"> </w:t>
            </w:r>
            <w:r w:rsidRPr="00381ABC">
              <w:rPr>
                <w:rFonts w:ascii="Trebuchet MS" w:hAnsi="Trebuchet MS"/>
                <w:sz w:val="24"/>
                <w:szCs w:val="24"/>
                <w:highlight w:val="green"/>
              </w:rPr>
              <w:t>nu se va solicita depunerea avizelor, acordurilor, certificatelor, autorizațiilor sau altor documente care au stat la baza emiterii autorizație de construire sau aprobării documentațiilor tehnico-economice care însoțesc cererea de finanțare</w:t>
            </w:r>
            <w:r w:rsidRPr="00517EB8">
              <w:rPr>
                <w:rFonts w:ascii="Trebuchet MS" w:hAnsi="Trebuchet MS"/>
                <w:sz w:val="24"/>
                <w:szCs w:val="24"/>
              </w:rPr>
              <w:t xml:space="preserve">, în condițiile în care acestea au fost aprobate potrivit competențelor stabilite prin Legea finanțelor nr. 500/2002 cu modificările și completările </w:t>
            </w:r>
            <w:r w:rsidRPr="00517EB8">
              <w:rPr>
                <w:rFonts w:ascii="Trebuchet MS" w:hAnsi="Trebuchet MS"/>
                <w:sz w:val="24"/>
                <w:szCs w:val="24"/>
              </w:rPr>
              <w:lastRenderedPageBreak/>
              <w:t xml:space="preserve">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rsidR="00AC5169" w:rsidRDefault="00AC5169"/>
          <w:p w:rsidR="006E0F28" w:rsidRDefault="006E0F28">
            <w:r w:rsidRPr="006E0F28">
              <w:rPr>
                <w:highlight w:val="yellow"/>
              </w:rPr>
              <w:t>in functie de depunerea sau nu a PT documentele se vor solicita la depunere (daca nu are PT depune CU, daca are PT cerem si AC</w:t>
            </w:r>
            <w:r>
              <w:rPr>
                <w:highlight w:val="yellow"/>
              </w:rPr>
              <w:t>,</w:t>
            </w:r>
            <w:r w:rsidRPr="006E0F28">
              <w:rPr>
                <w:highlight w:val="yellow"/>
              </w:rPr>
              <w:t xml:space="preserve"> fara avize, acorduri etc)</w:t>
            </w:r>
          </w:p>
        </w:tc>
      </w:tr>
      <w:tr w:rsidR="00D4465D" w:rsidTr="00AC5169">
        <w:tc>
          <w:tcPr>
            <w:tcW w:w="4664" w:type="dxa"/>
            <w:shd w:val="clear" w:color="auto" w:fill="E2EFD9" w:themeFill="accent6" w:themeFillTint="33"/>
          </w:tcPr>
          <w:p w:rsidR="00D4465D" w:rsidRPr="00D4465D" w:rsidRDefault="00D4465D">
            <w:r w:rsidRPr="00D4465D">
              <w:lastRenderedPageBreak/>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tc>
        <w:tc>
          <w:tcPr>
            <w:tcW w:w="4665" w:type="dxa"/>
            <w:shd w:val="clear" w:color="auto" w:fill="E2EFD9" w:themeFill="accent6" w:themeFillTint="33"/>
          </w:tcPr>
          <w:p w:rsidR="00D4465D" w:rsidRDefault="00D4465D"/>
        </w:tc>
        <w:tc>
          <w:tcPr>
            <w:tcW w:w="4665" w:type="dxa"/>
            <w:shd w:val="clear" w:color="auto" w:fill="E2EFD9" w:themeFill="accent6" w:themeFillTint="33"/>
          </w:tcPr>
          <w:p w:rsidR="00D4465D" w:rsidRDefault="00977DC9">
            <w:r w:rsidRPr="00977DC9">
              <w:rPr>
                <w:highlight w:val="yellow"/>
              </w:rPr>
              <w:t>la contractare</w:t>
            </w:r>
          </w:p>
        </w:tc>
      </w:tr>
      <w:tr w:rsidR="00D4465D" w:rsidTr="00AC5169">
        <w:tc>
          <w:tcPr>
            <w:tcW w:w="4664" w:type="dxa"/>
            <w:shd w:val="clear" w:color="auto" w:fill="E2EFD9" w:themeFill="accent6" w:themeFillTint="33"/>
          </w:tcPr>
          <w:p w:rsidR="00D4465D" w:rsidRPr="00D4465D" w:rsidRDefault="00D4465D">
            <w:r w:rsidRPr="00D4465D">
              <w:t>Hotărârea solicitantului/hotărârile partenerilor, după caz, de aprobare a documentaţiei tehnico-economice (faza SF/DALI/PT/contract de achiziţie publică) şi a indicatorilor tehnico-economici</w:t>
            </w:r>
          </w:p>
        </w:tc>
        <w:tc>
          <w:tcPr>
            <w:tcW w:w="4665" w:type="dxa"/>
            <w:shd w:val="clear" w:color="auto" w:fill="E2EFD9" w:themeFill="accent6" w:themeFillTint="33"/>
          </w:tcPr>
          <w:p w:rsidR="00D4465D" w:rsidRDefault="00D4465D"/>
        </w:tc>
        <w:tc>
          <w:tcPr>
            <w:tcW w:w="4665" w:type="dxa"/>
            <w:shd w:val="clear" w:color="auto" w:fill="E2EFD9" w:themeFill="accent6" w:themeFillTint="33"/>
          </w:tcPr>
          <w:p w:rsidR="00D4465D" w:rsidRDefault="00977DC9">
            <w:r w:rsidRPr="00977DC9">
              <w:rPr>
                <w:highlight w:val="yellow"/>
              </w:rPr>
              <w:t>la contractare</w:t>
            </w:r>
          </w:p>
        </w:tc>
      </w:tr>
      <w:tr w:rsidR="00D4465D" w:rsidTr="00AC5169">
        <w:tc>
          <w:tcPr>
            <w:tcW w:w="4664" w:type="dxa"/>
            <w:shd w:val="clear" w:color="auto" w:fill="E2EFD9" w:themeFill="accent6" w:themeFillTint="33"/>
          </w:tcPr>
          <w:p w:rsidR="00D4465D" w:rsidRPr="00D4465D" w:rsidRDefault="00D4465D">
            <w:r w:rsidRPr="00D4465D">
              <w:t>Hotărârea de aprobare a proiectului și/sau acordului de parteneriat – Model F (</w:t>
            </w:r>
            <w:r w:rsidRPr="00AC5169">
              <w:rPr>
                <w:b/>
              </w:rPr>
              <w:t>dacă este cazul)</w:t>
            </w:r>
          </w:p>
        </w:tc>
        <w:tc>
          <w:tcPr>
            <w:tcW w:w="4665" w:type="dxa"/>
            <w:shd w:val="clear" w:color="auto" w:fill="E2EFD9" w:themeFill="accent6" w:themeFillTint="33"/>
          </w:tcPr>
          <w:p w:rsidR="00D4465D" w:rsidRDefault="00D4465D"/>
        </w:tc>
        <w:tc>
          <w:tcPr>
            <w:tcW w:w="4665" w:type="dxa"/>
            <w:shd w:val="clear" w:color="auto" w:fill="E2EFD9" w:themeFill="accent6" w:themeFillTint="33"/>
          </w:tcPr>
          <w:p w:rsidR="00D4465D" w:rsidRDefault="00D4465D">
            <w:bookmarkStart w:id="0" w:name="_GoBack"/>
            <w:bookmarkEnd w:id="0"/>
          </w:p>
        </w:tc>
      </w:tr>
      <w:tr w:rsidR="00D4465D" w:rsidTr="00BA2EF2">
        <w:tc>
          <w:tcPr>
            <w:tcW w:w="4664" w:type="dxa"/>
            <w:shd w:val="clear" w:color="auto" w:fill="E2EFD9" w:themeFill="accent6" w:themeFillTint="33"/>
          </w:tcPr>
          <w:p w:rsidR="00D4465D" w:rsidRPr="00D4465D" w:rsidRDefault="00D4465D">
            <w:r w:rsidRPr="00D4465D">
              <w:t xml:space="preserve">Devizul general în conformitate cu legislația în vigoare – a se vedea structura devizului  general din cadrul legislației în vigoare privind aprobarea conţinutului-cadru al documentaţiei tehnico-economice aferente investiţiilor publice, precum </w:t>
            </w:r>
            <w:r w:rsidRPr="00D4465D">
              <w:lastRenderedPageBreak/>
              <w:t>şi a structurii şi metodologiei de elaborare a devizului general pentru obiective de investiţii şi lucrări de intervenţii</w:t>
            </w:r>
          </w:p>
        </w:tc>
        <w:tc>
          <w:tcPr>
            <w:tcW w:w="4665" w:type="dxa"/>
            <w:shd w:val="clear" w:color="auto" w:fill="E2EFD9" w:themeFill="accent6" w:themeFillTint="33"/>
          </w:tcPr>
          <w:p w:rsidR="00D4465D" w:rsidRDefault="00D4465D"/>
        </w:tc>
        <w:tc>
          <w:tcPr>
            <w:tcW w:w="4665" w:type="dxa"/>
            <w:shd w:val="clear" w:color="auto" w:fill="E2EFD9" w:themeFill="accent6" w:themeFillTint="33"/>
          </w:tcPr>
          <w:p w:rsidR="00D4465D" w:rsidRDefault="00BA2EF2">
            <w:r w:rsidRPr="00BA2EF2">
              <w:t>2.2.</w:t>
            </w:r>
            <w:r w:rsidRPr="00BA2EF2">
              <w:tab/>
              <w:t>Calitatea bugetului, concordanța buget/deviz (*)</w:t>
            </w:r>
            <w:r w:rsidRPr="00BA2EF2">
              <w:tab/>
            </w:r>
            <w:r w:rsidRPr="00BA2EF2">
              <w:tab/>
            </w:r>
          </w:p>
          <w:p w:rsidR="00977DC9" w:rsidRDefault="00977DC9">
            <w:r w:rsidRPr="00977DC9">
              <w:rPr>
                <w:highlight w:val="yellow"/>
              </w:rPr>
              <w:t>la depunere</w:t>
            </w:r>
          </w:p>
        </w:tc>
      </w:tr>
      <w:tr w:rsidR="00D4465D" w:rsidTr="00D4465D">
        <w:tc>
          <w:tcPr>
            <w:tcW w:w="4664" w:type="dxa"/>
          </w:tcPr>
          <w:p w:rsidR="00D4465D" w:rsidRPr="00D4465D" w:rsidRDefault="00D4465D">
            <w:r w:rsidRPr="00D4465D">
              <w:t>Raportul privind stadiul fizic al investiţiei (Modelul G)</w:t>
            </w:r>
          </w:p>
        </w:tc>
        <w:tc>
          <w:tcPr>
            <w:tcW w:w="4665" w:type="dxa"/>
          </w:tcPr>
          <w:p w:rsidR="00D4465D" w:rsidRDefault="00D4465D"/>
        </w:tc>
        <w:tc>
          <w:tcPr>
            <w:tcW w:w="4665" w:type="dxa"/>
          </w:tcPr>
          <w:p w:rsidR="00D4465D" w:rsidRDefault="00977DC9">
            <w:r w:rsidRPr="00977DC9">
              <w:rPr>
                <w:highlight w:val="yellow"/>
              </w:rPr>
              <w:t>la depunere</w:t>
            </w:r>
          </w:p>
        </w:tc>
      </w:tr>
      <w:tr w:rsidR="00D4465D" w:rsidTr="00D4465D">
        <w:tc>
          <w:tcPr>
            <w:tcW w:w="4664" w:type="dxa"/>
          </w:tcPr>
          <w:p w:rsidR="00D4465D" w:rsidRPr="00D4465D" w:rsidRDefault="00D4465D">
            <w:r w:rsidRPr="00D4465D">
              <w:t>Mandatului special/ împuternicirea specială pentru semnarea anumitor anexe/secţiuni la cererea de finanțare (dacă este cazul) și certificarea aplicaţiei (Model L)</w:t>
            </w:r>
          </w:p>
        </w:tc>
        <w:tc>
          <w:tcPr>
            <w:tcW w:w="4665" w:type="dxa"/>
          </w:tcPr>
          <w:p w:rsidR="00D4465D" w:rsidRDefault="00D4465D"/>
        </w:tc>
        <w:tc>
          <w:tcPr>
            <w:tcW w:w="4665" w:type="dxa"/>
          </w:tcPr>
          <w:p w:rsidR="00D4465D" w:rsidRDefault="00977DC9">
            <w:r w:rsidRPr="00977DC9">
              <w:rPr>
                <w:highlight w:val="yellow"/>
              </w:rPr>
              <w:t>la depunere</w:t>
            </w:r>
          </w:p>
        </w:tc>
      </w:tr>
      <w:tr w:rsidR="00D4465D" w:rsidTr="00BA2EF2">
        <w:tc>
          <w:tcPr>
            <w:tcW w:w="4664" w:type="dxa"/>
            <w:shd w:val="clear" w:color="auto" w:fill="E2EFD9" w:themeFill="accent6" w:themeFillTint="33"/>
          </w:tcPr>
          <w:p w:rsidR="00D4465D" w:rsidRPr="00D4465D" w:rsidRDefault="00D4465D">
            <w:r w:rsidRPr="00D4465D">
              <w:t xml:space="preserve">Extras din Planul de Mobilitate Urbană, respectiv din scenariul optim selectat „A face ceva” al Planului de Mobilitate Urbană Durabilă  </w:t>
            </w:r>
          </w:p>
        </w:tc>
        <w:tc>
          <w:tcPr>
            <w:tcW w:w="4665" w:type="dxa"/>
            <w:shd w:val="clear" w:color="auto" w:fill="E2EFD9" w:themeFill="accent6" w:themeFillTint="33"/>
          </w:tcPr>
          <w:p w:rsidR="00D4465D" w:rsidRDefault="00D4465D"/>
        </w:tc>
        <w:tc>
          <w:tcPr>
            <w:tcW w:w="4665" w:type="dxa"/>
            <w:shd w:val="clear" w:color="auto" w:fill="E2EFD9" w:themeFill="accent6" w:themeFillTint="33"/>
          </w:tcPr>
          <w:p w:rsidR="00BA2EF2" w:rsidRPr="00BA2EF2" w:rsidRDefault="00BA2EF2" w:rsidP="00BA2EF2">
            <w:pPr>
              <w:rPr>
                <w:b/>
              </w:rPr>
            </w:pPr>
            <w:r w:rsidRPr="00BA2EF2">
              <w:rPr>
                <w:b/>
              </w:rPr>
              <w:t xml:space="preserve">Grila ETF. </w:t>
            </w:r>
          </w:p>
          <w:p w:rsidR="00BA2EF2" w:rsidRDefault="00BA2EF2" w:rsidP="00BA2EF2">
            <w:r>
              <w:t>2.</w:t>
            </w:r>
            <w:r>
              <w:tab/>
              <w:t>CALITATEA, MATURITATEA SI SUSTENABILITATEA PROIECTULUI</w:t>
            </w:r>
            <w:r>
              <w:tab/>
            </w:r>
            <w:r>
              <w:tab/>
            </w:r>
          </w:p>
          <w:p w:rsidR="00BA2EF2" w:rsidRDefault="00BA2EF2" w:rsidP="00BA2EF2">
            <w:r>
              <w:t>2.1.</w:t>
            </w:r>
            <w:r>
              <w:tab/>
              <w:t>Calitatea/coerența documentaţiei tehnico-economice, metodologia de implementare</w:t>
            </w:r>
            <w:r>
              <w:tab/>
            </w:r>
          </w:p>
          <w:p w:rsidR="00977DC9" w:rsidRDefault="00BA2EF2" w:rsidP="00BA2EF2">
            <w:r w:rsidRPr="00BA2EF2">
              <w:t>2.1.2. Coerenţa dintre Planul de Mobilitate Urbană Durabilă (P.M.U.D), Studiul de trafic,  Studiul de Fezabilitate/D.A.L.I./PT, Cererea de Finanţare, după caz</w:t>
            </w:r>
          </w:p>
          <w:p w:rsidR="00D4465D" w:rsidRDefault="00977DC9" w:rsidP="00BA2EF2">
            <w:r w:rsidRPr="00977DC9">
              <w:rPr>
                <w:highlight w:val="yellow"/>
              </w:rPr>
              <w:t>la contractare, acest criteriu dispare din ETF</w:t>
            </w:r>
            <w:r w:rsidR="00BA2EF2" w:rsidRPr="00BA2EF2">
              <w:tab/>
            </w:r>
            <w:r w:rsidR="00BA2EF2" w:rsidRPr="00BA2EF2">
              <w:tab/>
            </w:r>
            <w:r w:rsidR="00BA2EF2">
              <w:tab/>
            </w:r>
          </w:p>
        </w:tc>
      </w:tr>
      <w:tr w:rsidR="00D4465D" w:rsidTr="00BA2EF2">
        <w:tc>
          <w:tcPr>
            <w:tcW w:w="4664" w:type="dxa"/>
            <w:shd w:val="clear" w:color="auto" w:fill="E2EFD9" w:themeFill="accent6" w:themeFillTint="33"/>
          </w:tcPr>
          <w:p w:rsidR="00D4465D" w:rsidRPr="00D4465D" w:rsidRDefault="00D4465D">
            <w:r w:rsidRPr="00D4465D">
              <w:t>Extras din portofoliul de proiecte al Strategiei Integrate de Dezvoltare Urbană/stategiei de dezvoltare locală/ județeană</w:t>
            </w:r>
          </w:p>
        </w:tc>
        <w:tc>
          <w:tcPr>
            <w:tcW w:w="4665" w:type="dxa"/>
            <w:shd w:val="clear" w:color="auto" w:fill="E2EFD9" w:themeFill="accent6" w:themeFillTint="33"/>
          </w:tcPr>
          <w:p w:rsidR="00D4465D" w:rsidRDefault="00D4465D"/>
        </w:tc>
        <w:tc>
          <w:tcPr>
            <w:tcW w:w="4665" w:type="dxa"/>
            <w:shd w:val="clear" w:color="auto" w:fill="E2EFD9" w:themeFill="accent6" w:themeFillTint="33"/>
          </w:tcPr>
          <w:p w:rsidR="00BA2EF2" w:rsidRDefault="00BA2EF2" w:rsidP="00BA2EF2">
            <w:r>
              <w:t xml:space="preserve">Grila ETF. </w:t>
            </w:r>
          </w:p>
          <w:p w:rsidR="00D4465D" w:rsidRDefault="00BA2EF2" w:rsidP="00BA2EF2">
            <w:r>
              <w:t>2.1.2. Coerenţa dintre Planul de Mobilitate Urbană Durabilă (P.M.U.D), Studiul de trafic,  Studiul de Fezabilitate/D.A.L.I./PT, Cererea de Finanţare, după caz</w:t>
            </w:r>
          </w:p>
          <w:p w:rsidR="00977DC9" w:rsidRDefault="00977DC9" w:rsidP="00BA2EF2"/>
          <w:p w:rsidR="00977DC9" w:rsidRDefault="00977DC9" w:rsidP="00BA2EF2">
            <w:r w:rsidRPr="00977DC9">
              <w:rPr>
                <w:highlight w:val="yellow"/>
              </w:rPr>
              <w:t>la contractare</w:t>
            </w:r>
          </w:p>
          <w:p w:rsidR="007D67DE" w:rsidRDefault="007D67DE" w:rsidP="00BA2EF2"/>
          <w:p w:rsidR="007D67DE" w:rsidRDefault="007D67DE" w:rsidP="00BA2EF2">
            <w:r w:rsidRPr="007D67DE">
              <w:t>4</w:t>
            </w:r>
            <w:r w:rsidRPr="007D67DE">
              <w:tab/>
              <w:t xml:space="preserve">Complementaritatea  proiectului cu alte investitii  privind infrastructura de transport realizate sau prevazute a fi realizate din alte surse de finantare (Fonduri UE sau Bugete </w:t>
            </w:r>
            <w:r w:rsidRPr="007D67DE">
              <w:lastRenderedPageBreak/>
              <w:t>nationale/locale) : POR 2014-2020, POS-T/POIM/POT 2021-2027, PNDR, PNDL, Buget Națíonal/Județean/Local, Cooperare Teritorială Europeană etc</w:t>
            </w:r>
            <w:r w:rsidRPr="007D67DE">
              <w:tab/>
            </w:r>
            <w:r w:rsidRPr="007D67DE">
              <w:tab/>
            </w:r>
          </w:p>
        </w:tc>
      </w:tr>
      <w:tr w:rsidR="00D4465D" w:rsidTr="00D4465D">
        <w:tc>
          <w:tcPr>
            <w:tcW w:w="4664" w:type="dxa"/>
          </w:tcPr>
          <w:p w:rsidR="00D4465D" w:rsidRPr="00D4465D" w:rsidRDefault="00D4465D">
            <w:r w:rsidRPr="00D4465D">
              <w:lastRenderedPageBreak/>
              <w:t>Consimțământ privind prelucrarea datelor cu caracter personal</w:t>
            </w:r>
          </w:p>
        </w:tc>
        <w:tc>
          <w:tcPr>
            <w:tcW w:w="4665" w:type="dxa"/>
          </w:tcPr>
          <w:p w:rsidR="00D4465D" w:rsidRDefault="00D4465D"/>
        </w:tc>
        <w:tc>
          <w:tcPr>
            <w:tcW w:w="4665" w:type="dxa"/>
          </w:tcPr>
          <w:p w:rsidR="00D4465D" w:rsidRDefault="00977DC9">
            <w:r w:rsidRPr="00977DC9">
              <w:rPr>
                <w:highlight w:val="yellow"/>
              </w:rPr>
              <w:t>la depunere</w:t>
            </w:r>
          </w:p>
        </w:tc>
      </w:tr>
      <w:tr w:rsidR="00D4465D" w:rsidTr="007D67DE">
        <w:tc>
          <w:tcPr>
            <w:tcW w:w="4664" w:type="dxa"/>
            <w:shd w:val="clear" w:color="auto" w:fill="E2EFD9" w:themeFill="accent6" w:themeFillTint="33"/>
          </w:tcPr>
          <w:p w:rsidR="00D4465D" w:rsidRPr="00D4465D" w:rsidRDefault="00D4465D">
            <w:r w:rsidRPr="00D4465D">
              <w:t>Declarația privind respectarea aplicării principiului de „a nu prejudicia în mod semnificativ” (DNSH), inclusiv Analiza privind modul de aplicare a principiului de „a nu prejudicia în mod semnificativ” (DNSH)</w:t>
            </w:r>
          </w:p>
        </w:tc>
        <w:tc>
          <w:tcPr>
            <w:tcW w:w="4665" w:type="dxa"/>
            <w:shd w:val="clear" w:color="auto" w:fill="E2EFD9" w:themeFill="accent6" w:themeFillTint="33"/>
          </w:tcPr>
          <w:p w:rsidR="00D4465D" w:rsidRDefault="00D4465D"/>
        </w:tc>
        <w:tc>
          <w:tcPr>
            <w:tcW w:w="4665" w:type="dxa"/>
            <w:shd w:val="clear" w:color="auto" w:fill="E2EFD9" w:themeFill="accent6" w:themeFillTint="33"/>
          </w:tcPr>
          <w:p w:rsidR="00977DC9" w:rsidRDefault="007D67DE">
            <w:r w:rsidRPr="007D67DE">
              <w:t>3.1.1.</w:t>
            </w:r>
            <w:r w:rsidRPr="007D67DE">
              <w:tab/>
              <w:t>Aplicarea principului de "A nu prejudicia în mod semnificativ" (DNSH)(*), inclusiv măsuri de imunizare a infrastructurii la schimbările climatice</w:t>
            </w:r>
          </w:p>
          <w:p w:rsidR="00D4465D" w:rsidRDefault="00977DC9">
            <w:r w:rsidRPr="00977DC9">
              <w:rPr>
                <w:highlight w:val="yellow"/>
              </w:rPr>
              <w:t>dispare</w:t>
            </w:r>
            <w:r w:rsidR="007D67DE" w:rsidRPr="007D67DE">
              <w:tab/>
            </w:r>
          </w:p>
        </w:tc>
      </w:tr>
      <w:tr w:rsidR="00D4465D" w:rsidTr="007D67DE">
        <w:tc>
          <w:tcPr>
            <w:tcW w:w="4664" w:type="dxa"/>
            <w:shd w:val="clear" w:color="auto" w:fill="E2EFD9" w:themeFill="accent6" w:themeFillTint="33"/>
          </w:tcPr>
          <w:p w:rsidR="00D4465D" w:rsidRPr="00D4465D" w:rsidRDefault="00D4465D">
            <w:r w:rsidRPr="00D4465D">
              <w:t>Tabel centralizator privind justificarea costurilor</w:t>
            </w:r>
          </w:p>
        </w:tc>
        <w:tc>
          <w:tcPr>
            <w:tcW w:w="4665" w:type="dxa"/>
            <w:shd w:val="clear" w:color="auto" w:fill="E2EFD9" w:themeFill="accent6" w:themeFillTint="33"/>
          </w:tcPr>
          <w:p w:rsidR="00D4465D" w:rsidRDefault="00D4465D"/>
        </w:tc>
        <w:tc>
          <w:tcPr>
            <w:tcW w:w="4665" w:type="dxa"/>
            <w:shd w:val="clear" w:color="auto" w:fill="E2EFD9" w:themeFill="accent6" w:themeFillTint="33"/>
          </w:tcPr>
          <w:p w:rsidR="00D4465D" w:rsidRDefault="007D67DE">
            <w:r w:rsidRPr="007D67DE">
              <w:t>2.2.</w:t>
            </w:r>
            <w:r w:rsidRPr="007D67DE">
              <w:tab/>
              <w:t>Calitatea bugetului, concordanța buget/deviz (*)</w:t>
            </w:r>
            <w:r w:rsidRPr="007D67DE">
              <w:tab/>
            </w:r>
          </w:p>
          <w:p w:rsidR="00977DC9" w:rsidRDefault="00977DC9">
            <w:r w:rsidRPr="00977DC9">
              <w:rPr>
                <w:highlight w:val="yellow"/>
              </w:rPr>
              <w:t>la depunere</w:t>
            </w:r>
            <w:r w:rsidRPr="00977DC9">
              <w:rPr>
                <w:highlight w:val="yellow"/>
              </w:rPr>
              <w:t xml:space="preserve"> (daca ramane criteriul)</w:t>
            </w:r>
          </w:p>
        </w:tc>
      </w:tr>
      <w:tr w:rsidR="00D4465D" w:rsidTr="00EF43C5">
        <w:tc>
          <w:tcPr>
            <w:tcW w:w="4664" w:type="dxa"/>
            <w:shd w:val="clear" w:color="auto" w:fill="E2EFD9" w:themeFill="accent6" w:themeFillTint="33"/>
          </w:tcPr>
          <w:p w:rsidR="00D4465D" w:rsidRPr="00612BBD" w:rsidRDefault="0026102C">
            <w:pPr>
              <w:rPr>
                <w:b/>
              </w:rPr>
            </w:pPr>
            <w:r w:rsidRPr="0026102C">
              <w:t xml:space="preserve"> </w:t>
            </w:r>
            <w:r w:rsidRPr="00612BBD">
              <w:rPr>
                <w:b/>
              </w:rPr>
              <w:t>Notă a proiectantului/consultantului de estimare a valorilor indicatorului RCR50 - Populația care beneficiază de măsurile privind calitatea aerului</w:t>
            </w:r>
          </w:p>
        </w:tc>
        <w:tc>
          <w:tcPr>
            <w:tcW w:w="4665" w:type="dxa"/>
            <w:shd w:val="clear" w:color="auto" w:fill="E2EFD9" w:themeFill="accent6" w:themeFillTint="33"/>
          </w:tcPr>
          <w:p w:rsidR="00D4465D" w:rsidRDefault="00D4465D"/>
        </w:tc>
        <w:tc>
          <w:tcPr>
            <w:tcW w:w="4665" w:type="dxa"/>
            <w:shd w:val="clear" w:color="auto" w:fill="E2EFD9" w:themeFill="accent6" w:themeFillTint="33"/>
          </w:tcPr>
          <w:p w:rsidR="00EF43C5" w:rsidRPr="00612BBD" w:rsidRDefault="00EF43C5" w:rsidP="00EF43C5">
            <w:pPr>
              <w:rPr>
                <w:b/>
              </w:rPr>
            </w:pPr>
            <w:r w:rsidRPr="00EF43C5">
              <w:rPr>
                <w:b/>
              </w:rPr>
              <w:t xml:space="preserve">Grila ETF. </w:t>
            </w:r>
            <w:r w:rsidRPr="00612BBD">
              <w:rPr>
                <w:b/>
              </w:rPr>
              <w:tab/>
            </w:r>
          </w:p>
          <w:p w:rsidR="00EF43C5" w:rsidRDefault="00EF43C5" w:rsidP="00EF43C5">
            <w:r>
              <w:t>1.1.</w:t>
            </w:r>
            <w:r>
              <w:tab/>
              <w:t xml:space="preserve">Populația care beneficiază de măsuri privind calitatea aerului </w:t>
            </w:r>
            <w:r>
              <w:tab/>
            </w:r>
            <w:r>
              <w:tab/>
            </w:r>
          </w:p>
        </w:tc>
      </w:tr>
      <w:tr w:rsidR="0026102C" w:rsidTr="00BA2EF2">
        <w:tc>
          <w:tcPr>
            <w:tcW w:w="4664" w:type="dxa"/>
            <w:shd w:val="clear" w:color="auto" w:fill="E2EFD9" w:themeFill="accent6" w:themeFillTint="33"/>
          </w:tcPr>
          <w:p w:rsidR="0026102C" w:rsidRPr="0026102C" w:rsidRDefault="0026102C">
            <w:r w:rsidRPr="0026102C">
              <w:t>Modelul K - Bugetul proiectului și sursele de finanţare</w:t>
            </w:r>
          </w:p>
        </w:tc>
        <w:tc>
          <w:tcPr>
            <w:tcW w:w="4665" w:type="dxa"/>
            <w:shd w:val="clear" w:color="auto" w:fill="E2EFD9" w:themeFill="accent6" w:themeFillTint="33"/>
          </w:tcPr>
          <w:p w:rsidR="0026102C" w:rsidRDefault="0026102C"/>
        </w:tc>
        <w:tc>
          <w:tcPr>
            <w:tcW w:w="4665" w:type="dxa"/>
            <w:shd w:val="clear" w:color="auto" w:fill="E2EFD9" w:themeFill="accent6" w:themeFillTint="33"/>
          </w:tcPr>
          <w:p w:rsidR="00BA2EF2" w:rsidRDefault="00BA2EF2" w:rsidP="00BA2EF2">
            <w:r>
              <w:t xml:space="preserve">Grila ETF. </w:t>
            </w:r>
          </w:p>
          <w:p w:rsidR="00977DC9" w:rsidRDefault="00BA2EF2" w:rsidP="00BA2EF2">
            <w:r w:rsidRPr="00BA2EF2">
              <w:t>2.2.</w:t>
            </w:r>
            <w:r w:rsidRPr="00BA2EF2">
              <w:tab/>
              <w:t>Calitatea bugetului, concordanța buget/deviz (*)</w:t>
            </w:r>
            <w:r w:rsidRPr="00BA2EF2">
              <w:tab/>
            </w:r>
          </w:p>
          <w:p w:rsidR="0026102C" w:rsidRDefault="00977DC9" w:rsidP="00BA2EF2">
            <w:r w:rsidRPr="00977DC9">
              <w:rPr>
                <w:highlight w:val="yellow"/>
              </w:rPr>
              <w:t>la depunere</w:t>
            </w:r>
            <w:r w:rsidR="00BA2EF2" w:rsidRPr="00BA2EF2">
              <w:tab/>
            </w:r>
          </w:p>
        </w:tc>
      </w:tr>
      <w:tr w:rsidR="0026102C" w:rsidTr="007D67DE">
        <w:tc>
          <w:tcPr>
            <w:tcW w:w="4664" w:type="dxa"/>
            <w:shd w:val="clear" w:color="auto" w:fill="FFF2CC" w:themeFill="accent4" w:themeFillTint="33"/>
          </w:tcPr>
          <w:p w:rsidR="0026102C" w:rsidRPr="0026102C" w:rsidRDefault="0026102C">
            <w:r w:rsidRPr="0026102C">
              <w:t>Documente privind situația financiară a solicitantului/partenerilor, după caz</w:t>
            </w:r>
          </w:p>
        </w:tc>
        <w:tc>
          <w:tcPr>
            <w:tcW w:w="4665" w:type="dxa"/>
            <w:shd w:val="clear" w:color="auto" w:fill="FFF2CC" w:themeFill="accent4" w:themeFillTint="33"/>
          </w:tcPr>
          <w:p w:rsidR="0026102C" w:rsidRDefault="007D67DE">
            <w:r>
              <w:t>?????/</w:t>
            </w:r>
          </w:p>
        </w:tc>
        <w:tc>
          <w:tcPr>
            <w:tcW w:w="4665" w:type="dxa"/>
            <w:shd w:val="clear" w:color="auto" w:fill="FFF2CC" w:themeFill="accent4" w:themeFillTint="33"/>
          </w:tcPr>
          <w:p w:rsidR="0026102C" w:rsidRDefault="007D67DE">
            <w:r w:rsidRPr="007D67DE">
              <w:t>5.1.</w:t>
            </w:r>
            <w:r w:rsidRPr="007D67DE">
              <w:tab/>
              <w:t xml:space="preserve">Capacitatea </w:t>
            </w:r>
            <w:r w:rsidR="00977DC9">
              <w:t>financiară  a solicitantului</w:t>
            </w:r>
          </w:p>
          <w:p w:rsidR="00977DC9" w:rsidRDefault="00977DC9">
            <w:r w:rsidRPr="00977DC9">
              <w:rPr>
                <w:highlight w:val="yellow"/>
              </w:rPr>
              <w:t>avem propunere de eliminare a acestui criteriu (sau mutare in eligibilitate)</w:t>
            </w:r>
          </w:p>
        </w:tc>
      </w:tr>
    </w:tbl>
    <w:p w:rsidR="00D4465D" w:rsidRDefault="00D4465D" w:rsidP="00D4465D">
      <w:pPr>
        <w:tabs>
          <w:tab w:val="left" w:pos="426"/>
        </w:tabs>
      </w:pPr>
    </w:p>
    <w:sectPr w:rsidR="00D4465D" w:rsidSect="00B27D6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E7D" w:rsidRDefault="00115E7D" w:rsidP="00D4465D">
      <w:pPr>
        <w:spacing w:after="0" w:line="240" w:lineRule="auto"/>
      </w:pPr>
      <w:r>
        <w:separator/>
      </w:r>
    </w:p>
  </w:endnote>
  <w:endnote w:type="continuationSeparator" w:id="0">
    <w:p w:rsidR="00115E7D" w:rsidRDefault="00115E7D" w:rsidP="00D44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E7D" w:rsidRDefault="00115E7D" w:rsidP="00D4465D">
      <w:pPr>
        <w:spacing w:after="0" w:line="240" w:lineRule="auto"/>
      </w:pPr>
      <w:r>
        <w:separator/>
      </w:r>
    </w:p>
  </w:footnote>
  <w:footnote w:type="continuationSeparator" w:id="0">
    <w:p w:rsidR="00115E7D" w:rsidRDefault="00115E7D" w:rsidP="00D446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3636CD"/>
    <w:multiLevelType w:val="hybridMultilevel"/>
    <w:tmpl w:val="2DC2DD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5365EE"/>
    <w:multiLevelType w:val="hybridMultilevel"/>
    <w:tmpl w:val="6DB2D2D8"/>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C0C3ABE"/>
    <w:multiLevelType w:val="hybridMultilevel"/>
    <w:tmpl w:val="8D208F70"/>
    <w:lvl w:ilvl="0" w:tplc="ACFE0AEA">
      <w:start w:val="8"/>
      <w:numFmt w:val="bullet"/>
      <w:lvlText w:val="-"/>
      <w:lvlJc w:val="left"/>
      <w:pPr>
        <w:ind w:left="360" w:hanging="360"/>
      </w:pPr>
      <w:rPr>
        <w:rFonts w:ascii="Trebuchet MS" w:eastAsiaTheme="minorHAnsi" w:hAnsi="Trebuchet MS"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42D0436"/>
    <w:multiLevelType w:val="hybridMultilevel"/>
    <w:tmpl w:val="8092BF3A"/>
    <w:lvl w:ilvl="0" w:tplc="0809000B">
      <w:start w:val="1"/>
      <w:numFmt w:val="bullet"/>
      <w:lvlText w:val=""/>
      <w:lvlJc w:val="left"/>
      <w:pPr>
        <w:ind w:left="1152" w:hanging="360"/>
      </w:pPr>
      <w:rPr>
        <w:rFonts w:ascii="Wingdings" w:hAnsi="Wingdings"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5" w15:restartNumberingAfterBreak="0">
    <w:nsid w:val="26CA4D11"/>
    <w:multiLevelType w:val="hybridMultilevel"/>
    <w:tmpl w:val="9A6CBDA4"/>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CAC10C7"/>
    <w:multiLevelType w:val="hybridMultilevel"/>
    <w:tmpl w:val="8C620D20"/>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00B4FB9"/>
    <w:multiLevelType w:val="hybridMultilevel"/>
    <w:tmpl w:val="771271DC"/>
    <w:lvl w:ilvl="0" w:tplc="693A559C">
      <w:numFmt w:val="bullet"/>
      <w:lvlText w:val="-"/>
      <w:lvlJc w:val="left"/>
      <w:pPr>
        <w:ind w:left="720" w:hanging="360"/>
      </w:pPr>
      <w:rPr>
        <w:rFonts w:ascii="Trebuchet MS" w:eastAsiaTheme="minorHAnsi" w:hAnsi="Trebuchet MS"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A1C5329"/>
    <w:multiLevelType w:val="hybridMultilevel"/>
    <w:tmpl w:val="9190E804"/>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4B3B4AAD"/>
    <w:multiLevelType w:val="hybridMultilevel"/>
    <w:tmpl w:val="97A870B6"/>
    <w:lvl w:ilvl="0" w:tplc="693A559C">
      <w:numFmt w:val="bullet"/>
      <w:lvlText w:val="-"/>
      <w:lvlJc w:val="left"/>
      <w:pPr>
        <w:ind w:left="720" w:hanging="360"/>
      </w:pPr>
      <w:rPr>
        <w:rFonts w:ascii="Trebuchet MS" w:eastAsiaTheme="minorHAnsi" w:hAnsi="Trebuchet MS"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A99700E"/>
    <w:multiLevelType w:val="multilevel"/>
    <w:tmpl w:val="98104166"/>
    <w:lvl w:ilvl="0">
      <w:start w:val="1"/>
      <w:numFmt w:val="decimal"/>
      <w:lvlText w:val="%1."/>
      <w:lvlJc w:val="left"/>
      <w:pPr>
        <w:tabs>
          <w:tab w:val="num" w:pos="644"/>
        </w:tabs>
        <w:ind w:left="644" w:hanging="360"/>
      </w:pPr>
      <w:rPr>
        <w:rFonts w:hint="default"/>
        <w:b/>
        <w:color w:val="auto"/>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771"/>
        </w:tabs>
        <w:ind w:left="2771"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65FA75E8"/>
    <w:multiLevelType w:val="hybridMultilevel"/>
    <w:tmpl w:val="C7F81892"/>
    <w:lvl w:ilvl="0" w:tplc="FF96CD7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A934954"/>
    <w:multiLevelType w:val="hybridMultilevel"/>
    <w:tmpl w:val="1F964090"/>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8B3BA9"/>
    <w:multiLevelType w:val="hybridMultilevel"/>
    <w:tmpl w:val="C128B476"/>
    <w:lvl w:ilvl="0" w:tplc="0809000B">
      <w:start w:val="1"/>
      <w:numFmt w:val="bullet"/>
      <w:lvlText w:val=""/>
      <w:lvlJc w:val="left"/>
      <w:pPr>
        <w:ind w:left="1152" w:hanging="360"/>
      </w:pPr>
      <w:rPr>
        <w:rFonts w:ascii="Wingdings" w:hAnsi="Wingdings"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14"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8757A6A"/>
    <w:multiLevelType w:val="hybridMultilevel"/>
    <w:tmpl w:val="27D451EE"/>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0"/>
  </w:num>
  <w:num w:numId="2">
    <w:abstractNumId w:val="11"/>
  </w:num>
  <w:num w:numId="3">
    <w:abstractNumId w:val="2"/>
  </w:num>
  <w:num w:numId="4">
    <w:abstractNumId w:val="14"/>
  </w:num>
  <w:num w:numId="5">
    <w:abstractNumId w:val="12"/>
  </w:num>
  <w:num w:numId="6">
    <w:abstractNumId w:val="8"/>
  </w:num>
  <w:num w:numId="7">
    <w:abstractNumId w:val="3"/>
  </w:num>
  <w:num w:numId="8">
    <w:abstractNumId w:val="13"/>
  </w:num>
  <w:num w:numId="9">
    <w:abstractNumId w:val="4"/>
  </w:num>
  <w:num w:numId="10">
    <w:abstractNumId w:val="15"/>
  </w:num>
  <w:num w:numId="11">
    <w:abstractNumId w:val="5"/>
  </w:num>
  <w:num w:numId="12">
    <w:abstractNumId w:val="6"/>
  </w:num>
  <w:num w:numId="13">
    <w:abstractNumId w:val="9"/>
  </w:num>
  <w:num w:numId="14">
    <w:abstractNumId w:val="7"/>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D6C"/>
    <w:rsid w:val="00115E7D"/>
    <w:rsid w:val="001914FA"/>
    <w:rsid w:val="001C529A"/>
    <w:rsid w:val="0026102C"/>
    <w:rsid w:val="0027721E"/>
    <w:rsid w:val="00396908"/>
    <w:rsid w:val="004773BB"/>
    <w:rsid w:val="00612BBD"/>
    <w:rsid w:val="006E0F28"/>
    <w:rsid w:val="007D67DE"/>
    <w:rsid w:val="00977DC9"/>
    <w:rsid w:val="00AC5169"/>
    <w:rsid w:val="00AD6C33"/>
    <w:rsid w:val="00B27D6C"/>
    <w:rsid w:val="00B919F7"/>
    <w:rsid w:val="00BA2EF2"/>
    <w:rsid w:val="00BE1B7E"/>
    <w:rsid w:val="00CD04FB"/>
    <w:rsid w:val="00D26CAE"/>
    <w:rsid w:val="00D4465D"/>
    <w:rsid w:val="00E75D19"/>
    <w:rsid w:val="00EB5854"/>
    <w:rsid w:val="00EC6404"/>
    <w:rsid w:val="00EF43C5"/>
    <w:rsid w:val="00F63C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189D98-9675-43FC-BC99-35112C7F3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46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ă paragraf,List Paragraph11,Listă colorată - Accentuare 11,Bullet,Citation List,Bullet list"/>
    <w:basedOn w:val="Normal"/>
    <w:link w:val="ListParagraphChar"/>
    <w:uiPriority w:val="34"/>
    <w:qFormat/>
    <w:rsid w:val="00D4465D"/>
    <w:pPr>
      <w:spacing w:after="0" w:line="240" w:lineRule="auto"/>
      <w:ind w:left="720"/>
      <w:jc w:val="both"/>
    </w:pPr>
    <w:rPr>
      <w:rFonts w:ascii="Arial" w:eastAsia="Calibri" w:hAnsi="Arial" w:cs="Arial"/>
      <w:sz w:val="20"/>
      <w:szCs w:val="20"/>
      <w:lang w:val="en-US"/>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ă paragraf Char,Bullet Char"/>
    <w:link w:val="ListParagraph"/>
    <w:uiPriority w:val="34"/>
    <w:qFormat/>
    <w:rsid w:val="00D4465D"/>
    <w:rPr>
      <w:rFonts w:ascii="Arial" w:eastAsia="Calibri" w:hAnsi="Arial" w:cs="Arial"/>
      <w:sz w:val="20"/>
      <w:szCs w:val="20"/>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D4465D"/>
    <w:pPr>
      <w:spacing w:after="0" w:line="240" w:lineRule="auto"/>
      <w:jc w:val="both"/>
    </w:pPr>
    <w:rPr>
      <w:rFonts w:ascii="Trebuchet MS" w:eastAsia="Times New Roman" w:hAnsi="Trebuchet MS" w:cs="Times New Roman"/>
      <w:sz w:val="20"/>
      <w:szCs w:val="20"/>
      <w:lang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D4465D"/>
    <w:rPr>
      <w:rFonts w:ascii="Trebuchet MS" w:eastAsia="Times New Roman" w:hAnsi="Trebuchet MS" w:cs="Times New Roman"/>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D4465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4465D"/>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6</Pages>
  <Words>1222</Words>
  <Characters>6967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TGJ2</dc:creator>
  <cp:keywords/>
  <dc:description/>
  <cp:lastModifiedBy>Gabriel Burada</cp:lastModifiedBy>
  <cp:revision>14</cp:revision>
  <dcterms:created xsi:type="dcterms:W3CDTF">2023-01-18T08:01:00Z</dcterms:created>
  <dcterms:modified xsi:type="dcterms:W3CDTF">2023-01-18T13:26:00Z</dcterms:modified>
</cp:coreProperties>
</file>